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A1 07 165 vom 18. Januar 2008</w:t>
      </w:r>
    </w:p>
    <w:p>
      <w:r>
        <w:t>VS Kantonsgericht, 2008-01-18, DE</w:t>
      </w:r>
    </w:p>
    <w:p>
      <w:r>
        <w:rPr>
          <w:b/>
        </w:rPr>
        <w:t xml:space="preserve">Quelle: </w:t>
      </w:r>
      <w:r>
        <w:t>https://mcp.opencaselaw.ch/entscheid/vs_gerichte_A1 07 165</w:t>
      </w:r>
    </w:p>
    <w:p>
      <w:r>
        <w:t>FR: VS_GERICHTE A1 07 165 du 18 janvier 2008</w:t>
      </w:r>
    </w:p>
    <w:p>
      <w:r>
        <w:t>IT: VS_GERICHTE A1 07 165 del 18 gennaio 2008</w:t>
      </w:r>
    </w:p>
    <w:p>
      <w:pPr>
        <w:pStyle w:val="Heading2"/>
      </w:pPr>
      <w:r>
        <w:t>Regeste</w:t>
      </w:r>
    </w:p>
    <w:p>
      <w:r>
        <w:t>19 Bauwesen KGVS A1 07 165 KGE (öffentlichrechtliche Abteilung) vom 18. Januar 2008 i.S. X. c. Gemeinde Y. und Kons. Baurechtlicher Grenzabstand − Eine Rampe, die auf der ganzen Länge unterhalb des gewachsenen Terrains verläuft und zu einer untergeschossigen Lagerhalle führt, muss keinen baurechtlichen Grenzabstand einhalten (Art. 10 Abs. 1, 21, 22 Abs. 1 und 4 BauG. − Dasselbe gilt für den Grenzabstand der entlang der Rampe verlaufenden, nicht mehr als 1.50 m hohe Grenzmauer (Art. 19 Abs. 1 Ziff. 3 lit. d BauV). Distance à la limite − Une rampe construite, sur toute sa longueur, à un niveau inférieur à celui du terrain naturel et mène à une dépôt souterrain n'est pas assujettie aux règles sur la distance à la limite (art. 10 al. 1, 21, 22 al. 1 et 4 LC). − Il en va de même pour un mur d'une hauteur de 1 m 50 au plus construit en limite de propriété le long de cette rampe (art. 19 al. 1 ch. 3 lit. d OC). Gekürzter Sachverhalt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6. Schliesslich ist festzuhalten, dass die entlang der Westgrenze der Parzelle vorgesehene, übererdige und 1.50 m hohe Mauer mit der Zufahrtsrampe keine Einheit bildet, da sie für die Erstellung der Rampe nicht zwingend notwendig ist. Sie bedarf als solche keiner Baubewilligung (Art. 19 Abs. 1 Ziff. 3 lit. d BauV i.V.m. Art. 37 Abs. 1 lit. k BZR e contrario) und kann folglich von der Bauherrschaft ohne Weiteres erstellt werden. Sie verletzt auch nicht offensichtlich zivilrechtliche Vorschriften (Art. 152c Abs. 2 des Einführungsgesetzes zum Schweizerischen Zivilgesetzbuch vom 24. März 1998 [SGS/VS 211.1]). Die Beschwerde erweist sich folglich auch in dieser Hinsicht als unbegründet.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